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Program Roadmap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Generated: 2026-03-19</w:t>
      </w:r>
    </w:p>
    <w:p>
      <w:r>
        <w:t xml:space="preserve">Detected Services: 8 across 7 categories</w:t>
      </w:r>
    </w:p>
    <w:p>
      <w:r>
        <w:t xml:space="preserve">Current Maturity Level: Optimizing (Level 5/5)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Executive Summary</w:t>
      </w:r>
    </w:p>
    <w:p>
      <w:r>
        <w:t xml:space="preserve">This 12-month roadmap provides a structured plan to build and mature Acme Inc's privacy program from its current state (Level 5: Optimizing) toward full compliance maturity.</w:t>
      </w:r>
    </w:p>
    <w:p>
      <w:pPr>
        <w:pStyle w:val="Heading3"/>
      </w:pPr>
      <w:r>
        <w:t>Current Maturity Assessment</w:t>
      </w:r>
    </w:p>
    <w:p>
      <w:pPr>
        <w:pStyle w:val="Code"/>
      </w:pPr>
      <w:r>
        <w:rPr>
          <w:rFonts w:ascii="Courier New" w:hAnsi="Courier New"/>
          <w:sz w:val="18"/>
        </w:rPr>
        <w:t xml:space="preserve">Current Level: █████ 5/5</w:t>
      </w:r>
    </w:p>
    <w:p>
      <w:pPr>
        <w:pStyle w:val="Code"/>
      </w:pPr>
      <w:r>
        <w:rPr>
          <w:rFonts w:ascii="Courier New" w:hAnsi="Courier New"/>
          <w:sz w:val="18"/>
        </w:rPr>
        <w:t xml:space="preserve">Target (6mo):  █████ 5/5</w:t>
      </w:r>
    </w:p>
    <w:p>
      <w:pPr>
        <w:pStyle w:val="Code"/>
      </w:pPr>
      <w:r>
        <w:rPr>
          <w:rFonts w:ascii="Courier New" w:hAnsi="Courier New"/>
          <w:sz w:val="18"/>
        </w:rPr>
        <w:t xml:space="preserve">Target (12mo): █████ 5/5</w:t>
      </w:r>
    </w:p>
    <w:p>
      <w:r>
        <w:t xml:space="preserve">Current state: Continuous improvement. Privacy by design culture.</w:t>
      </w:r>
    </w:p>
    <w:p>
      <w:pPr>
        <w:pStyle w:val="Heading3"/>
      </w:pPr>
      <w:r>
        <w:t>Roadmap at a Glance</w:t>
      </w:r>
    </w:p>
    <w:p>
      <w:r>
        <w:rPr>
          <w:sz w:val="20"/>
        </w:rPr>
        <w:t xml:space="preserve">Quarter  |  Focus  |  Key Milestones</w:t>
      </w:r>
    </w:p>
    <w:p>
      <w:r>
        <w:rPr>
          <w:sz w:val="20"/>
        </w:rPr>
        <w:t xml:space="preserve">Q1 (Months 1-3)  |  Foundation  |  Privacy policy, consent, breach procedures</w:t>
      </w:r>
    </w:p>
    <w:p>
      <w:r>
        <w:rPr>
          <w:sz w:val="20"/>
        </w:rPr>
        <w:t xml:space="preserve">Q2 (Months 4-6)  |  Operationalize  |  Vendor management, training, DSAR process</w:t>
      </w:r>
    </w:p>
    <w:p>
      <w:r>
        <w:rPr>
          <w:sz w:val="20"/>
        </w:rPr>
        <w:t xml:space="preserve">Q3 (Months 7-9)  |  Mature  |  Automation, metrics, audit readiness</w:t>
      </w:r>
    </w:p>
    <w:p>
      <w:r>
        <w:rPr>
          <w:sz w:val="20"/>
        </w:rPr>
        <w:t xml:space="preserve">Q4 (Months 10-12)  |  Optimize  |  Continuous improvement, certification prep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Q1: Build the Foundation</w:t>
      </w:r>
    </w:p>
    <w:p>
      <w:pPr>
        <w:pStyle w:val="Heading3"/>
      </w:pPr>
      <w:r>
        <w:t>Month 1: Privacy Governance &amp; Core Documents</w:t>
      </w:r>
    </w:p>
    <w:p>
      <w:r>
        <w:t xml:space="preserve">Theme: Establish governance and publish essential documents.</w:t>
      </w:r>
    </w:p>
    <w:p>
      <w:pPr>
        <w:pStyle w:val="Heading4"/>
      </w:pPr>
      <w:r>
        <w:t>Week 1-2: Governance Setup</w:t>
      </w:r>
    </w:p>
    <w:p>
      <w:pPr>
        <w:pStyle w:val="ListParagraph"/>
        <w:numPr>
          <w:ilvl w:val="0"/>
          <w:numId w:val="1"/>
        </w:numPr>
      </w:pPr>
      <w:r>
        <w:t xml:space="preserve">[ ] **Appoint a privacy lead** — Current: Jane Mueller</w:t>
      </w:r>
    </w:p>
    <w:p>
      <w:pPr>
        <w:pStyle w:val="ListParagraph"/>
        <w:numPr>
          <w:ilvl w:val="0"/>
          <w:numId w:val="1"/>
        </w:numPr>
      </w:pPr>
      <w:r>
        <w:t xml:space="preserve">[ ] **Define privacy program scope** — Document which systems, data, and teams are in scope</w:t>
      </w:r>
    </w:p>
    <w:p>
      <w:pPr>
        <w:pStyle w:val="ListParagraph"/>
        <w:numPr>
          <w:ilvl w:val="0"/>
          <w:numId w:val="1"/>
        </w:numPr>
      </w:pPr>
      <w:r>
        <w:t xml:space="preserve">[ ] **Conduct initial data inventory** — Map all 8 detected services and their data flows</w:t>
      </w:r>
    </w:p>
    <w:p>
      <w:pPr>
        <w:pStyle w:val="ListParagraph"/>
        <w:numPr>
          <w:ilvl w:val="0"/>
          <w:numId w:val="1"/>
        </w:numPr>
      </w:pPr>
      <w:r>
        <w:t xml:space="preserve">[ ] **Establish privacy team** — Identify stakeholders from Legal, Engineering, Product, and Security</w:t>
      </w:r>
    </w:p>
    <w:p>
      <w:pPr>
        <w:pStyle w:val="Heading4"/>
      </w:pPr>
      <w:r>
        <w:t>Week 3-4: Core Document Review &amp; Publication</w:t>
      </w:r>
    </w:p>
    <w:p>
      <w:pPr>
        <w:pStyle w:val="ListParagraph"/>
        <w:numPr>
          <w:ilvl w:val="0"/>
          <w:numId w:val="1"/>
        </w:numPr>
      </w:pPr>
      <w:r>
        <w:t xml:space="preserve">[ ] **Review and publish Privacy Policy** — Verify all 8 services are listed</w:t>
      </w:r>
    </w:p>
    <w:p>
      <w:pPr>
        <w:pStyle w:val="ListParagraph"/>
        <w:numPr>
          <w:ilvl w:val="0"/>
          <w:numId w:val="1"/>
        </w:numPr>
      </w:pPr>
      <w:r>
        <w:t xml:space="preserve">[ ] **Review and publish Terms of Service** — Customize for your business model</w:t>
      </w:r>
    </w:p>
    <w:p>
      <w:pPr>
        <w:pStyle w:val="ListParagraph"/>
        <w:numPr>
          <w:ilvl w:val="0"/>
          <w:numId w:val="1"/>
        </w:numPr>
      </w:pPr>
      <w:r>
        <w:t xml:space="preserve">[ ] **Publish Security Policy** — Include responsible disclosure contact</w:t>
      </w:r>
    </w:p>
    <w:p>
      <w:pPr>
        <w:pStyle w:val="ListParagraph"/>
        <w:numPr>
          <w:ilvl w:val="0"/>
          <w:numId w:val="1"/>
        </w:numPr>
      </w:pPr>
      <w:r>
        <w:t xml:space="preserve">[ ] **Publish AI Disclosure** — EU AI Act Art. 50 transparency requirement</w:t>
      </w:r>
    </w:p>
    <w:p>
      <w:pPr>
        <w:pStyle w:val="ListParagraph"/>
        <w:numPr>
          <w:ilvl w:val="0"/>
          <w:numId w:val="1"/>
        </w:numPr>
      </w:pPr>
      <w:r>
        <w:t xml:space="preserve">[ ] **Deploy cookie consent mechanism** — ePrivacy Directive compliance</w:t>
      </w:r>
    </w:p>
    <w:p>
      <w:pPr>
        <w:pStyle w:val="ListParagraph"/>
        <w:numPr>
          <w:ilvl w:val="0"/>
          <w:numId w:val="1"/>
        </w:numPr>
      </w:pPr>
      <w:r>
        <w:t xml:space="preserve">[ ] **Publish Refund Policy** — EU consumer rights compliance</w:t>
      </w:r>
    </w:p>
    <w:p>
      <w:pPr>
        <w:pStyle w:val="Heading4"/>
      </w:pPr>
      <w:r>
        <w:t>Month 1 Deliverables</w:t>
      </w:r>
    </w:p>
    <w:p>
      <w:r>
        <w:rPr>
          <w:sz w:val="20"/>
        </w:rPr>
        <w:t xml:space="preserve">Deliverable  |  Status  |  Owner  |  Deadline</w:t>
      </w:r>
    </w:p>
    <w:p>
      <w:r>
        <w:rPr>
          <w:sz w:val="20"/>
        </w:rPr>
        <w:t xml:space="preserve">Privacy lead appointed  |  ☐  |  Executive team  |  Week 1</w:t>
      </w:r>
    </w:p>
    <w:p>
      <w:r>
        <w:rPr>
          <w:sz w:val="20"/>
        </w:rPr>
        <w:t xml:space="preserve">Data inventory complete  |  ☐  |  Privacy lead  |  Week 2</w:t>
      </w:r>
    </w:p>
    <w:p>
      <w:r>
        <w:rPr>
          <w:sz w:val="20"/>
        </w:rPr>
        <w:t xml:space="preserve">Privacy Policy published  |  ☐  |  Legal/Privacy  |  Week 3</w:t>
      </w:r>
    </w:p>
    <w:p>
      <w:r>
        <w:rPr>
          <w:sz w:val="20"/>
        </w:rPr>
        <w:t xml:space="preserve">Terms of Service published  |  ☐  |  Legal  |  Week 3</w:t>
      </w:r>
    </w:p>
    <w:p>
      <w:r>
        <w:rPr>
          <w:sz w:val="20"/>
        </w:rPr>
        <w:t xml:space="preserve">Security Policy published  |  ☐  |  Engineering  |  Week 4</w:t>
      </w:r>
    </w:p>
    <w:p>
      <w:pPr>
        <w:pStyle w:val="Heading3"/>
      </w:pPr>
      <w:r>
        <w:t>Month 2: Data Protection &amp; Incident Readiness</w:t>
      </w:r>
    </w:p>
    <w:p>
      <w:r>
        <w:t xml:space="preserve">Theme: Establish breach response and data protection procedures.</w:t>
      </w:r>
    </w:p>
    <w:p>
      <w:pPr>
        <w:pStyle w:val="Heading4"/>
      </w:pPr>
      <w:r>
        <w:t>Week 5-6: Incident Response</w:t>
      </w:r>
    </w:p>
    <w:p>
      <w:pPr>
        <w:pStyle w:val="ListParagraph"/>
        <w:numPr>
          <w:ilvl w:val="0"/>
          <w:numId w:val="1"/>
        </w:numPr>
      </w:pPr>
      <w:r>
        <w:t xml:space="preserve">[ ] **Finalize Incident Response Plan** — Define roles, escalation paths, and timelines</w:t>
      </w:r>
    </w:p>
    <w:p>
      <w:pPr>
        <w:pStyle w:val="ListParagraph"/>
        <w:numPr>
          <w:ilvl w:val="0"/>
          <w:numId w:val="1"/>
        </w:numPr>
      </w:pPr>
      <w:r>
        <w:t xml:space="preserve">[ ] **Set up breach notification templates** — Pre-draft notifications for regulators and users</w:t>
      </w:r>
    </w:p>
    <w:p>
      <w:pPr>
        <w:pStyle w:val="ListParagraph"/>
        <w:numPr>
          <w:ilvl w:val="0"/>
          <w:numId w:val="1"/>
        </w:numPr>
      </w:pPr>
      <w:r>
        <w:t xml:space="preserve">[ ] **Establish incident communication channels** — On-call rotation, dedicated Slack/Teams channel</w:t>
      </w:r>
    </w:p>
    <w:p>
      <w:pPr>
        <w:pStyle w:val="ListParagraph"/>
        <w:numPr>
          <w:ilvl w:val="0"/>
          <w:numId w:val="1"/>
        </w:numPr>
      </w:pPr>
      <w:r>
        <w:t xml:space="preserve">[ ] **Conduct first tabletop exercise** — Simulate a breach scenario with the response team</w:t>
      </w:r>
    </w:p>
    <w:p>
      <w:pPr>
        <w:pStyle w:val="ListParagraph"/>
        <w:numPr>
          <w:ilvl w:val="0"/>
          <w:numId w:val="1"/>
        </w:numPr>
      </w:pPr>
      <w:r>
        <w:t xml:space="preserve">[ ] **GDPR 72-hour notification procedure** — Document the process to notify supervisory authority</w:t>
      </w:r>
    </w:p>
    <w:p>
      <w:pPr>
        <w:pStyle w:val="Heading4"/>
      </w:pPr>
      <w:r>
        <w:t>Week 7-8: Data Protection</w:t>
      </w:r>
    </w:p>
    <w:p>
      <w:pPr>
        <w:pStyle w:val="ListParagraph"/>
        <w:numPr>
          <w:ilvl w:val="0"/>
          <w:numId w:val="1"/>
        </w:numPr>
      </w:pPr>
      <w:r>
        <w:t xml:space="preserve">[ ] **Document data retention periods** — Define retention for each of the 7 data categories</w:t>
      </w:r>
    </w:p>
    <w:p>
      <w:pPr>
        <w:pStyle w:val="ListParagraph"/>
        <w:numPr>
          <w:ilvl w:val="0"/>
          <w:numId w:val="1"/>
        </w:numPr>
      </w:pPr>
      <w:r>
        <w:t xml:space="preserve">[ ] **Implement automated deletion** — Set up cron jobs or TTLs for data that exceeds retention periods</w:t>
      </w:r>
    </w:p>
    <w:p>
      <w:pPr>
        <w:pStyle w:val="ListParagraph"/>
        <w:numPr>
          <w:ilvl w:val="0"/>
          <w:numId w:val="1"/>
        </w:numPr>
      </w:pPr>
      <w:r>
        <w:t xml:space="preserve">[ ] **Review Data Processing Agreements** — Ensure DPAs are in place with all 8 sub-processors</w:t>
      </w:r>
    </w:p>
    <w:p>
      <w:pPr>
        <w:pStyle w:val="ListParagraph"/>
        <w:numPr>
          <w:ilvl w:val="0"/>
          <w:numId w:val="1"/>
        </w:numPr>
      </w:pPr>
      <w:r>
        <w:t xml:space="preserve">[ ] **Database encryption audit** — Verify encryption at rest for all database services</w:t>
      </w:r>
    </w:p>
    <w:p>
      <w:pPr>
        <w:pStyle w:val="Heading4"/>
      </w:pPr>
      <w:r>
        <w:t>Month 2 Deliverables</w:t>
      </w:r>
    </w:p>
    <w:p>
      <w:r>
        <w:rPr>
          <w:sz w:val="20"/>
        </w:rPr>
        <w:t xml:space="preserve">Deliverable  |  Status  |  Owner  |  Deadline</w:t>
      </w:r>
    </w:p>
    <w:p>
      <w:r>
        <w:rPr>
          <w:sz w:val="20"/>
        </w:rPr>
        <w:t xml:space="preserve">Incident Response Plan  |  ☐  |  Security  |  Week 5</w:t>
      </w:r>
    </w:p>
    <w:p>
      <w:r>
        <w:rPr>
          <w:sz w:val="20"/>
        </w:rPr>
        <w:t xml:space="preserve">Tabletop exercise complete  |  ☐  |  Security  |  Week 6</w:t>
      </w:r>
    </w:p>
    <w:p>
      <w:r>
        <w:rPr>
          <w:sz w:val="20"/>
        </w:rPr>
        <w:t xml:space="preserve">Data retention schedule  |  ☐  |  Privacy lead  |  Week 7</w:t>
      </w:r>
    </w:p>
    <w:p>
      <w:r>
        <w:rPr>
          <w:sz w:val="20"/>
        </w:rPr>
        <w:t xml:space="preserve">DPAs collected  |  ☐  |  Legal  |  Week 8</w:t>
      </w:r>
    </w:p>
    <w:p>
      <w:pPr>
        <w:pStyle w:val="Heading3"/>
      </w:pPr>
      <w:r>
        <w:t>Month 3: Consent &amp; Rights Management</w:t>
      </w:r>
    </w:p>
    <w:p>
      <w:r>
        <w:t xml:space="preserve">Theme: Implement data subject rights and consent management.</w:t>
      </w:r>
    </w:p>
    <w:p>
      <w:pPr>
        <w:pStyle w:val="Heading4"/>
      </w:pPr>
      <w:r>
        <w:t>Week 9-10: Consent Architecture</w:t>
      </w:r>
    </w:p>
    <w:p>
      <w:pPr>
        <w:pStyle w:val="ListParagraph"/>
        <w:numPr>
          <w:ilvl w:val="0"/>
          <w:numId w:val="1"/>
        </w:numPr>
      </w:pPr>
      <w:r>
        <w:t xml:space="preserve">[ ] **Cookie consent audit** — Verify all cookies are categorized and consent is collected before non-essential cookies</w:t>
      </w:r>
    </w:p>
    <w:p>
      <w:pPr>
        <w:pStyle w:val="ListParagraph"/>
        <w:numPr>
          <w:ilvl w:val="0"/>
          <w:numId w:val="1"/>
        </w:numPr>
      </w:pPr>
      <w:r>
        <w:t xml:space="preserve">[ ] **Consent banner testing** — Test across browsers, devices, and regions</w:t>
      </w:r>
    </w:p>
    <w:p>
      <w:pPr>
        <w:pStyle w:val="ListParagraph"/>
        <w:numPr>
          <w:ilvl w:val="0"/>
          <w:numId w:val="1"/>
        </w:numPr>
      </w:pPr>
      <w:r>
        <w:t xml:space="preserve">[ ] **Consent record keeping** — Implement logging for all consent events (who, when, what, how)</w:t>
      </w:r>
    </w:p>
    <w:p>
      <w:pPr>
        <w:pStyle w:val="ListParagraph"/>
        <w:numPr>
          <w:ilvl w:val="0"/>
          <w:numId w:val="1"/>
        </w:numPr>
      </w:pPr>
      <w:r>
        <w:t xml:space="preserve">[ ] **Privacy preference center** — Build or configure a page where users can manage their preferences</w:t>
      </w:r>
    </w:p>
    <w:p>
      <w:pPr>
        <w:pStyle w:val="ListParagraph"/>
        <w:numPr>
          <w:ilvl w:val="0"/>
          <w:numId w:val="1"/>
        </w:numPr>
      </w:pPr>
      <w:r>
        <w:t xml:space="preserve">[ ] **Consent withdrawal mechanism** — Ensure users can easily withdraw consent</w:t>
      </w:r>
    </w:p>
    <w:p>
      <w:pPr>
        <w:pStyle w:val="Heading4"/>
      </w:pPr>
      <w:r>
        <w:t>Week 11-12: Data Subject Rights</w:t>
      </w:r>
    </w:p>
    <w:p>
      <w:pPr>
        <w:pStyle w:val="ListParagraph"/>
        <w:numPr>
          <w:ilvl w:val="0"/>
          <w:numId w:val="1"/>
        </w:numPr>
      </w:pPr>
      <w:r>
        <w:t xml:space="preserve">[ ] **DSAR handling process** — Document the end-to-end process for data subject access requests</w:t>
      </w:r>
    </w:p>
    <w:p>
      <w:pPr>
        <w:pStyle w:val="ListParagraph"/>
        <w:numPr>
          <w:ilvl w:val="0"/>
          <w:numId w:val="1"/>
        </w:numPr>
      </w:pPr>
      <w:r>
        <w:t xml:space="preserve">[ ] **Data export capability** — Build or verify the ability to export user data in a portable format</w:t>
      </w:r>
    </w:p>
    <w:p>
      <w:pPr>
        <w:pStyle w:val="ListParagraph"/>
        <w:numPr>
          <w:ilvl w:val="0"/>
          <w:numId w:val="1"/>
        </w:numPr>
      </w:pPr>
      <w:r>
        <w:t xml:space="preserve">[ ] **Account deletion flow** — Implement self-service account deletion (GDPR Art. 17)</w:t>
      </w:r>
    </w:p>
    <w:p>
      <w:pPr>
        <w:pStyle w:val="ListParagraph"/>
        <w:numPr>
          <w:ilvl w:val="0"/>
          <w:numId w:val="1"/>
        </w:numPr>
      </w:pPr>
      <w:r>
        <w:t xml:space="preserve">[ ] **Right to rectification** — Enable users to correct their personal data</w:t>
      </w:r>
    </w:p>
    <w:p>
      <w:pPr>
        <w:pStyle w:val="ListParagraph"/>
        <w:numPr>
          <w:ilvl w:val="0"/>
          <w:numId w:val="1"/>
        </w:numPr>
      </w:pPr>
      <w:r>
        <w:t xml:space="preserve">[ ] **Response time SLA** — Commit to responding to DSARs within 30 days</w:t>
      </w:r>
    </w:p>
    <w:p>
      <w:pPr>
        <w:pStyle w:val="Heading4"/>
      </w:pPr>
      <w:r>
        <w:t>Q1 Checkpoint</w:t>
      </w:r>
    </w:p>
    <w:p>
      <w:r>
        <w:t xml:space="preserve">At the end of Q1, you should have:</w:t>
      </w:r>
    </w:p>
    <w:p>
      <w:pPr>
        <w:pStyle w:val="ListParagraph"/>
        <w:numPr>
          <w:ilvl w:val="0"/>
          <w:numId w:val="1"/>
        </w:numPr>
      </w:pPr>
      <w:r>
        <w:t xml:space="preserve">✅ Published core legal documents</w:t>
      </w:r>
    </w:p>
    <w:p>
      <w:pPr>
        <w:pStyle w:val="ListParagraph"/>
        <w:numPr>
          <w:ilvl w:val="0"/>
          <w:numId w:val="1"/>
        </w:numPr>
      </w:pPr>
      <w:r>
        <w:t xml:space="preserve">✅ Incident response plan tested</w:t>
      </w:r>
    </w:p>
    <w:p>
      <w:pPr>
        <w:pStyle w:val="ListParagraph"/>
        <w:numPr>
          <w:ilvl w:val="0"/>
          <w:numId w:val="1"/>
        </w:numPr>
      </w:pPr>
      <w:r>
        <w:t xml:space="preserve">✅ DPAs with all sub-processors</w:t>
      </w:r>
    </w:p>
    <w:p>
      <w:pPr>
        <w:pStyle w:val="ListParagraph"/>
        <w:numPr>
          <w:ilvl w:val="0"/>
          <w:numId w:val="1"/>
        </w:numPr>
      </w:pPr>
      <w:r>
        <w:t xml:space="preserve">✅ Consent management operational</w:t>
      </w:r>
    </w:p>
    <w:p>
      <w:pPr>
        <w:pStyle w:val="ListParagraph"/>
        <w:numPr>
          <w:ilvl w:val="0"/>
          <w:numId w:val="1"/>
        </w:numPr>
      </w:pPr>
      <w:r>
        <w:t xml:space="preserve">✅ DSAR handling process live</w:t>
      </w:r>
    </w:p>
    <w:p>
      <w:r>
        <w:t xml:space="preserve">Expected maturity: Level 5 (Managed)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Q2: Operationalize Privacy</w:t>
      </w:r>
    </w:p>
    <w:p>
      <w:pPr>
        <w:pStyle w:val="Heading3"/>
      </w:pPr>
      <w:r>
        <w:t>Month 4: Vendor &amp; Third-Party Management</w:t>
      </w:r>
    </w:p>
    <w:p>
      <w:r>
        <w:t xml:space="preserve">Theme: Systematic vendor risk management.</w:t>
      </w:r>
    </w:p>
    <w:p>
      <w:pPr>
        <w:pStyle w:val="ListParagraph"/>
        <w:numPr>
          <w:ilvl w:val="0"/>
          <w:numId w:val="1"/>
        </w:numPr>
      </w:pPr>
      <w:r>
        <w:t xml:space="preserve">[ ] **Complete vendor risk assessment** — Evaluate each of the 8 detected services</w:t>
      </w:r>
    </w:p>
    <w:p>
      <w:pPr>
        <w:pStyle w:val="ListParagraph"/>
        <w:numPr>
          <w:ilvl w:val="0"/>
          <w:numId w:val="1"/>
        </w:numPr>
      </w:pPr>
      <w:r>
        <w:t xml:space="preserve">[ ] **Vendor security questionnaire** — Send SIG Lite questionnaire to all sub-processors</w:t>
      </w:r>
    </w:p>
    <w:p>
      <w:pPr>
        <w:pStyle w:val="ListParagraph"/>
        <w:numPr>
          <w:ilvl w:val="0"/>
          <w:numId w:val="1"/>
        </w:numPr>
      </w:pPr>
      <w:r>
        <w:t xml:space="preserve">[ ] **Vendor onboarding process** — Define approval workflow for new third-party services</w:t>
      </w:r>
    </w:p>
    <w:p>
      <w:pPr>
        <w:pStyle w:val="ListParagraph"/>
        <w:numPr>
          <w:ilvl w:val="0"/>
          <w:numId w:val="1"/>
        </w:numPr>
      </w:pPr>
      <w:r>
        <w:t xml:space="preserve">[ ] **Sub-processor list publication** — Publish and maintain a public list of sub-processors</w:t>
      </w:r>
    </w:p>
    <w:p>
      <w:pPr>
        <w:pStyle w:val="ListParagraph"/>
        <w:numPr>
          <w:ilvl w:val="0"/>
          <w:numId w:val="1"/>
        </w:numPr>
      </w:pPr>
      <w:r>
        <w:t xml:space="preserve">[ ] **Vendor exit planning** — Document migration strategies for critical services</w:t>
      </w:r>
    </w:p>
    <w:p>
      <w:pPr>
        <w:pStyle w:val="ListParagraph"/>
        <w:numPr>
          <w:ilvl w:val="0"/>
          <w:numId w:val="1"/>
        </w:numPr>
      </w:pPr>
      <w:r>
        <w:t xml:space="preserve">[ ] **Sub-processor change notification** — Set up process to notify users of sub-processor changes</w:t>
      </w:r>
    </w:p>
    <w:p>
      <w:pPr>
        <w:pStyle w:val="Heading3"/>
      </w:pPr>
      <w:r>
        <w:t>Month 5: Privacy Training &amp; Awareness</w:t>
      </w:r>
    </w:p>
    <w:p>
      <w:r>
        <w:t xml:space="preserve">Theme: Build a privacy-aware culture.</w:t>
      </w:r>
    </w:p>
    <w:p>
      <w:pPr>
        <w:pStyle w:val="ListParagraph"/>
        <w:numPr>
          <w:ilvl w:val="0"/>
          <w:numId w:val="1"/>
        </w:numPr>
      </w:pPr>
      <w:r>
        <w:t xml:space="preserve">[ ] **Privacy training program** — Develop role-specific training materials</w:t>
      </w:r>
    </w:p>
    <w:p>
      <w:r>
        <w:t xml:space="preserve">  - Engineering: secure coding, data minimization, privacy by design</w:t>
      </w:r>
    </w:p>
    <w:p>
      <w:r>
        <w:t xml:space="preserve">  - Product: privacy impact assessment, consent UX patterns</w:t>
      </w:r>
    </w:p>
    <w:p>
      <w:r>
        <w:t xml:space="preserve">  - Support: DSAR handling, data breach identification</w:t>
      </w:r>
    </w:p>
    <w:p>
      <w:r>
        <w:t xml:space="preserve">  - Management: regulatory landscape, liability, compliance budgeting</w:t>
      </w:r>
    </w:p>
    <w:p>
      <w:pPr>
        <w:pStyle w:val="ListParagraph"/>
        <w:numPr>
          <w:ilvl w:val="0"/>
          <w:numId w:val="1"/>
        </w:numPr>
      </w:pPr>
      <w:r>
        <w:t xml:space="preserve">[ ] **Training records** — Implement a system to track training completion</w:t>
      </w:r>
    </w:p>
    <w:p>
      <w:pPr>
        <w:pStyle w:val="ListParagraph"/>
        <w:numPr>
          <w:ilvl w:val="0"/>
          <w:numId w:val="1"/>
        </w:numPr>
      </w:pPr>
      <w:r>
        <w:t xml:space="preserve">[ ] **Privacy champions network** — Appoint privacy champions in each team</w:t>
      </w:r>
    </w:p>
    <w:p>
      <w:pPr>
        <w:pStyle w:val="ListParagraph"/>
        <w:numPr>
          <w:ilvl w:val="0"/>
          <w:numId w:val="1"/>
        </w:numPr>
      </w:pPr>
      <w:r>
        <w:t xml:space="preserve">[ ] **Privacy newsletter** — Launch an internal monthly privacy update</w:t>
      </w:r>
    </w:p>
    <w:p>
      <w:pPr>
        <w:pStyle w:val="ListParagraph"/>
        <w:numPr>
          <w:ilvl w:val="0"/>
          <w:numId w:val="1"/>
        </w:numPr>
      </w:pPr>
      <w:r>
        <w:t xml:space="preserve">[ ] **Phishing simulation** — Run a baseline phishing awareness test</w:t>
      </w:r>
    </w:p>
    <w:p>
      <w:pPr>
        <w:pStyle w:val="Heading3"/>
      </w:pPr>
      <w:r>
        <w:t>Month 6: Privacy Impact Assessments</w:t>
      </w:r>
    </w:p>
    <w:p>
      <w:r>
        <w:t xml:space="preserve">Theme: Systematic risk identification.</w:t>
      </w:r>
    </w:p>
    <w:p>
      <w:pPr>
        <w:pStyle w:val="ListParagraph"/>
        <w:numPr>
          <w:ilvl w:val="0"/>
          <w:numId w:val="1"/>
        </w:numPr>
      </w:pPr>
      <w:r>
        <w:t xml:space="preserve">[ ] **PIA/DPIA process** — Document when and how privacy impact assessments are conducted</w:t>
      </w:r>
    </w:p>
    <w:p>
      <w:pPr>
        <w:pStyle w:val="ListParagraph"/>
        <w:numPr>
          <w:ilvl w:val="0"/>
          <w:numId w:val="1"/>
        </w:numPr>
      </w:pPr>
      <w:r>
        <w:t xml:space="preserve">[ ] **AI impact assessment** — DPIA for AI-based processing activities (GDPR Art. 35)</w:t>
      </w:r>
    </w:p>
    <w:p>
      <w:pPr>
        <w:pStyle w:val="ListParagraph"/>
        <w:numPr>
          <w:ilvl w:val="0"/>
          <w:numId w:val="1"/>
        </w:numPr>
      </w:pPr>
      <w:r>
        <w:t xml:space="preserve">[ ] **Privacy by design checklist** — Integrate privacy checks into the product development lifecycle</w:t>
      </w:r>
    </w:p>
    <w:p>
      <w:pPr>
        <w:pStyle w:val="ListParagraph"/>
        <w:numPr>
          <w:ilvl w:val="0"/>
          <w:numId w:val="1"/>
        </w:numPr>
      </w:pPr>
      <w:r>
        <w:t xml:space="preserve">[ ] **Risk register update** — Update the risk register with findings from all assessments</w:t>
      </w:r>
    </w:p>
    <w:p>
      <w:pPr>
        <w:pStyle w:val="ListParagraph"/>
        <w:numPr>
          <w:ilvl w:val="0"/>
          <w:numId w:val="1"/>
        </w:numPr>
      </w:pPr>
      <w:r>
        <w:t xml:space="preserve">[ ] **Transfer impact assessment** — Evaluate all international data transfers (Schrems II)</w:t>
      </w:r>
    </w:p>
    <w:p>
      <w:pPr>
        <w:pStyle w:val="ListParagraph"/>
        <w:numPr>
          <w:ilvl w:val="0"/>
          <w:numId w:val="1"/>
        </w:numPr>
      </w:pPr>
      <w:r>
        <w:t xml:space="preserve">[ ] **Lawful basis review** — Confirm the lawful basis for each processing activity</w:t>
      </w:r>
    </w:p>
    <w:p>
      <w:pPr>
        <w:pStyle w:val="Heading4"/>
      </w:pPr>
      <w:r>
        <w:t>Q2 Checkpoint</w:t>
      </w:r>
    </w:p>
    <w:p>
      <w:r>
        <w:t xml:space="preserve">At the end of Q2, you should have:</w:t>
      </w:r>
    </w:p>
    <w:p>
      <w:pPr>
        <w:pStyle w:val="ListParagraph"/>
        <w:numPr>
          <w:ilvl w:val="0"/>
          <w:numId w:val="1"/>
        </w:numPr>
      </w:pPr>
      <w:r>
        <w:t xml:space="preserve">✅ Vendor management program operational</w:t>
      </w:r>
    </w:p>
    <w:p>
      <w:pPr>
        <w:pStyle w:val="ListParagraph"/>
        <w:numPr>
          <w:ilvl w:val="0"/>
          <w:numId w:val="1"/>
        </w:numPr>
      </w:pPr>
      <w:r>
        <w:t xml:space="preserve">✅ Privacy training delivered to all staff</w:t>
      </w:r>
    </w:p>
    <w:p>
      <w:pPr>
        <w:pStyle w:val="ListParagraph"/>
        <w:numPr>
          <w:ilvl w:val="0"/>
          <w:numId w:val="1"/>
        </w:numPr>
      </w:pPr>
      <w:r>
        <w:t xml:space="preserve">✅ PIAs completed for high-risk processing</w:t>
      </w:r>
    </w:p>
    <w:p>
      <w:pPr>
        <w:pStyle w:val="ListParagraph"/>
        <w:numPr>
          <w:ilvl w:val="0"/>
          <w:numId w:val="1"/>
        </w:numPr>
      </w:pPr>
      <w:r>
        <w:t xml:space="preserve">✅ International transfer safeguards in place</w:t>
      </w:r>
    </w:p>
    <w:p>
      <w:r>
        <w:t xml:space="preserve">Expected maturity: Level 5 (Optimizing)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Q3: Mature the Program</w:t>
      </w:r>
    </w:p>
    <w:p>
      <w:pPr>
        <w:pStyle w:val="Heading3"/>
      </w:pPr>
      <w:r>
        <w:t>Month 7: Automation &amp; Monitoring</w:t>
      </w:r>
    </w:p>
    <w:p>
      <w:r>
        <w:t xml:space="preserve">Theme: Reduce manual effort, increase consistency.</w:t>
      </w:r>
    </w:p>
    <w:p>
      <w:pPr>
        <w:pStyle w:val="ListParagraph"/>
        <w:numPr>
          <w:ilvl w:val="0"/>
          <w:numId w:val="1"/>
        </w:numPr>
      </w:pPr>
      <w:r>
        <w:t xml:space="preserve">[ ] **CI/CD compliance checks** — Integrate Codepliant into your CI/CD pipeline</w:t>
      </w:r>
    </w:p>
    <w:p>
      <w:r>
        <w:t xml:space="preserve">  ```yaml</w:t>
      </w:r>
    </w:p>
    <w:p>
      <w:r>
        <w:t xml:space="preserve">  # .github/workflows/compliance.yml</w:t>
      </w:r>
    </w:p>
    <w:p>
      <w:r>
        <w:t xml:space="preserve">  - uses: joechensmartz/codepliant@v410</w:t>
      </w:r>
    </w:p>
    <w:p>
      <w:r>
        <w:t xml:space="preserve">    with:</w:t>
      </w:r>
    </w:p>
    <w:p>
      <w:r>
        <w:t xml:space="preserve">      fail-on-missing: true</w:t>
      </w:r>
    </w:p>
    <w:p>
      <w:r>
        <w:t xml:space="preserve">  ```</w:t>
      </w:r>
    </w:p>
    <w:p>
      <w:pPr>
        <w:pStyle w:val="ListParagraph"/>
        <w:numPr>
          <w:ilvl w:val="0"/>
          <w:numId w:val="1"/>
        </w:numPr>
      </w:pPr>
      <w:r>
        <w:t xml:space="preserve">[ ] **Pre-commit hook** — Install compliance pre-commit hook</w:t>
      </w:r>
    </w:p>
    <w:p>
      <w:r>
        <w:t xml:space="preserve">  ```bash</w:t>
      </w:r>
    </w:p>
    <w:p>
      <w:r>
        <w:t xml:space="preserve">  npx codepliant hook install</w:t>
      </w:r>
    </w:p>
    <w:p>
      <w:r>
        <w:t xml:space="preserve">  ```</w:t>
      </w:r>
    </w:p>
    <w:p>
      <w:pPr>
        <w:pStyle w:val="ListParagraph"/>
        <w:numPr>
          <w:ilvl w:val="0"/>
          <w:numId w:val="1"/>
        </w:numPr>
      </w:pPr>
      <w:r>
        <w:t xml:space="preserve">[ ] **Automated dependency scanning** — Weekly vulnerability scans</w:t>
      </w:r>
    </w:p>
    <w:p>
      <w:pPr>
        <w:pStyle w:val="ListParagraph"/>
        <w:numPr>
          <w:ilvl w:val="0"/>
          <w:numId w:val="1"/>
        </w:numPr>
      </w:pPr>
      <w:r>
        <w:t xml:space="preserve">[ ] **Consent analytics dashboard** — Track consent rates, opt-out rates, DSAR volumes</w:t>
      </w:r>
    </w:p>
    <w:p>
      <w:pPr>
        <w:pStyle w:val="ListParagraph"/>
        <w:numPr>
          <w:ilvl w:val="0"/>
          <w:numId w:val="1"/>
        </w:numPr>
      </w:pPr>
      <w:r>
        <w:t xml:space="preserve">[ ] **Security event alerting** — Configure alerts for suspicious patterns in monitoring data</w:t>
      </w:r>
    </w:p>
    <w:p>
      <w:pPr>
        <w:pStyle w:val="ListParagraph"/>
        <w:numPr>
          <w:ilvl w:val="0"/>
          <w:numId w:val="1"/>
        </w:numPr>
      </w:pPr>
      <w:r>
        <w:t xml:space="preserve">[ ] **Scheduled re-scans** — Weekly automated compliance scans</w:t>
      </w:r>
    </w:p>
    <w:p>
      <w:r>
        <w:t xml:space="preserve">  ```bash</w:t>
      </w:r>
    </w:p>
    <w:p>
      <w:r>
        <w:t xml:space="preserve">  npx codepliant schedule install --frequency weekly</w:t>
      </w:r>
    </w:p>
    <w:p>
      <w:r>
        <w:t xml:space="preserve">  ```</w:t>
      </w:r>
    </w:p>
    <w:p>
      <w:pPr>
        <w:pStyle w:val="Heading3"/>
      </w:pPr>
      <w:r>
        <w:t>Month 8: Metrics &amp; Reporting</w:t>
      </w:r>
    </w:p>
    <w:p>
      <w:r>
        <w:t xml:space="preserve">Theme: Measure what matters.</w:t>
      </w:r>
    </w:p>
    <w:p>
      <w:pPr>
        <w:pStyle w:val="ListParagraph"/>
        <w:numPr>
          <w:ilvl w:val="0"/>
          <w:numId w:val="1"/>
        </w:numPr>
      </w:pPr>
      <w:r>
        <w:t xml:space="preserve">[ ] **Define compliance KPIs** — Establish key performance indicators:</w:t>
      </w:r>
    </w:p>
    <w:p>
      <w:r>
        <w:t xml:space="preserve">  - DSAR response time (target: &lt;30 days)</w:t>
      </w:r>
    </w:p>
    <w:p>
      <w:r>
        <w:t xml:space="preserve">  - Consent rate (target: &gt;80%)</w:t>
      </w:r>
    </w:p>
    <w:p>
      <w:r>
        <w:t xml:space="preserve">  - Training completion rate (target: 100%)</w:t>
      </w:r>
    </w:p>
    <w:p>
      <w:r>
        <w:t xml:space="preserve">  - Vendor DPA coverage (target: 100%)</w:t>
      </w:r>
    </w:p>
    <w:p>
      <w:r>
        <w:t xml:space="preserve">  - Incident response time (target: &lt;24 hours)</w:t>
      </w:r>
    </w:p>
    <w:p>
      <w:r>
        <w:t xml:space="preserve">  - Document freshness (target: updated within 90 days)</w:t>
      </w:r>
    </w:p>
    <w:p>
      <w:pPr>
        <w:pStyle w:val="ListParagraph"/>
        <w:numPr>
          <w:ilvl w:val="0"/>
          <w:numId w:val="1"/>
        </w:numPr>
      </w:pPr>
      <w:r>
        <w:t xml:space="preserve">[ ] **Executive dashboard** — Monthly compliance report for leadership</w:t>
      </w:r>
    </w:p>
    <w:p>
      <w:pPr>
        <w:pStyle w:val="ListParagraph"/>
        <w:numPr>
          <w:ilvl w:val="0"/>
          <w:numId w:val="1"/>
        </w:numPr>
      </w:pPr>
      <w:r>
        <w:t xml:space="preserve">[ ] **Compliance maturity score** — Track progress toward target maturity level</w:t>
      </w:r>
    </w:p>
    <w:p>
      <w:pPr>
        <w:pStyle w:val="ListParagraph"/>
        <w:numPr>
          <w:ilvl w:val="0"/>
          <w:numId w:val="1"/>
        </w:numPr>
      </w:pPr>
      <w:r>
        <w:t xml:space="preserve">[ ] **Regulatory readiness scorecard** — Per-regulation compliance status</w:t>
      </w:r>
    </w:p>
    <w:p>
      <w:pPr>
        <w:pStyle w:val="ListParagraph"/>
        <w:numPr>
          <w:ilvl w:val="0"/>
          <w:numId w:val="1"/>
        </w:numPr>
      </w:pPr>
      <w:r>
        <w:t xml:space="preserve">[ ] **Budget tracking** — Monitor compliance program spend vs. budget</w:t>
      </w:r>
    </w:p>
    <w:p>
      <w:pPr>
        <w:pStyle w:val="Heading3"/>
      </w:pPr>
      <w:r>
        <w:t>Month 9: Audit Readiness</w:t>
      </w:r>
    </w:p>
    <w:p>
      <w:r>
        <w:t xml:space="preserve">Theme: Prepare for external audit or certification.</w:t>
      </w:r>
    </w:p>
    <w:p>
      <w:pPr>
        <w:pStyle w:val="ListParagraph"/>
        <w:numPr>
          <w:ilvl w:val="0"/>
          <w:numId w:val="1"/>
        </w:numPr>
      </w:pPr>
      <w:r>
        <w:t xml:space="preserve">[ ] **SOC 2 gap analysis** — Identify gaps against Trust Service Criteria</w:t>
      </w:r>
    </w:p>
    <w:p>
      <w:pPr>
        <w:pStyle w:val="ListParagraph"/>
        <w:numPr>
          <w:ilvl w:val="0"/>
          <w:numId w:val="1"/>
        </w:numPr>
      </w:pPr>
      <w:r>
        <w:t xml:space="preserve">[ ] **ISO 27001 readiness** — Map controls to Annex A requirements</w:t>
      </w:r>
    </w:p>
    <w:p>
      <w:pPr>
        <w:pStyle w:val="ListParagraph"/>
        <w:numPr>
          <w:ilvl w:val="0"/>
          <w:numId w:val="1"/>
        </w:numPr>
      </w:pPr>
      <w:r>
        <w:t xml:space="preserve">[ ] **Evidence collection** — Gather evidence for all implemented controls</w:t>
      </w:r>
    </w:p>
    <w:p>
      <w:pPr>
        <w:pStyle w:val="ListParagraph"/>
        <w:numPr>
          <w:ilvl w:val="0"/>
          <w:numId w:val="1"/>
        </w:numPr>
      </w:pPr>
      <w:r>
        <w:t xml:space="preserve">[ ] **Internal audit** — Conduct a pre-audit internal review</w:t>
      </w:r>
    </w:p>
    <w:p>
      <w:pPr>
        <w:pStyle w:val="ListParagraph"/>
        <w:numPr>
          <w:ilvl w:val="0"/>
          <w:numId w:val="1"/>
        </w:numPr>
      </w:pPr>
      <w:r>
        <w:t xml:space="preserve">[ ] **Record of processing activities** — Verify GDPR Art. 30 documentation is complete</w:t>
      </w:r>
    </w:p>
    <w:p>
      <w:pPr>
        <w:pStyle w:val="ListParagraph"/>
        <w:numPr>
          <w:ilvl w:val="0"/>
          <w:numId w:val="1"/>
        </w:numPr>
      </w:pPr>
      <w:r>
        <w:t xml:space="preserve">[ ] **Policy review cycle** — Review and update all policies published in Q1</w:t>
      </w:r>
    </w:p>
    <w:p>
      <w:pPr>
        <w:pStyle w:val="Heading4"/>
      </w:pPr>
      <w:r>
        <w:t>Q3 Checkpoint</w:t>
      </w:r>
    </w:p>
    <w:p>
      <w:r>
        <w:t xml:space="preserve">At the end of Q3, you should have:</w:t>
      </w:r>
    </w:p>
    <w:p>
      <w:pPr>
        <w:pStyle w:val="ListParagraph"/>
        <w:numPr>
          <w:ilvl w:val="0"/>
          <w:numId w:val="1"/>
        </w:numPr>
      </w:pPr>
      <w:r>
        <w:t xml:space="preserve">✅ Automated compliance checks in CI/CD</w:t>
      </w:r>
    </w:p>
    <w:p>
      <w:pPr>
        <w:pStyle w:val="ListParagraph"/>
        <w:numPr>
          <w:ilvl w:val="0"/>
          <w:numId w:val="1"/>
        </w:numPr>
      </w:pPr>
      <w:r>
        <w:t xml:space="preserve">✅ KPI dashboard operational</w:t>
      </w:r>
    </w:p>
    <w:p>
      <w:pPr>
        <w:pStyle w:val="ListParagraph"/>
        <w:numPr>
          <w:ilvl w:val="0"/>
          <w:numId w:val="1"/>
        </w:numPr>
      </w:pPr>
      <w:r>
        <w:t xml:space="preserve">✅ Internal audit completed</w:t>
      </w:r>
    </w:p>
    <w:p>
      <w:pPr>
        <w:pStyle w:val="ListParagraph"/>
        <w:numPr>
          <w:ilvl w:val="0"/>
          <w:numId w:val="1"/>
        </w:numPr>
      </w:pPr>
      <w:r>
        <w:t xml:space="preserve">✅ All policies reviewed and updated</w:t>
      </w:r>
    </w:p>
    <w:p>
      <w:r>
        <w:t xml:space="preserve">Expected maturity: Level 5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Q4: Optimize &amp; Sustain</w:t>
      </w:r>
    </w:p>
    <w:p>
      <w:pPr>
        <w:pStyle w:val="Heading3"/>
      </w:pPr>
      <w:r>
        <w:t>Month 10: Continuous Improvement</w:t>
      </w:r>
    </w:p>
    <w:p>
      <w:r>
        <w:t xml:space="preserve">Theme: Embed privacy into daily operations.</w:t>
      </w:r>
    </w:p>
    <w:p>
      <w:pPr>
        <w:pStyle w:val="ListParagraph"/>
        <w:numPr>
          <w:ilvl w:val="0"/>
          <w:numId w:val="1"/>
        </w:numPr>
      </w:pPr>
      <w:r>
        <w:t xml:space="preserve">[ ] **Privacy by design in SDLC** — Mandatory privacy review for all new features</w:t>
      </w:r>
    </w:p>
    <w:p>
      <w:pPr>
        <w:pStyle w:val="ListParagraph"/>
        <w:numPr>
          <w:ilvl w:val="0"/>
          <w:numId w:val="1"/>
        </w:numPr>
      </w:pPr>
      <w:r>
        <w:t xml:space="preserve">[ ] **Automated PIA triggers** — Auto-trigger PIA when new services are added to codebase</w:t>
      </w:r>
    </w:p>
    <w:p>
      <w:pPr>
        <w:pStyle w:val="ListParagraph"/>
        <w:numPr>
          <w:ilvl w:val="0"/>
          <w:numId w:val="1"/>
        </w:numPr>
      </w:pPr>
      <w:r>
        <w:t xml:space="preserve">[ ] **Privacy debt tracking** — Track and prioritize privacy improvements alongside tech debt</w:t>
      </w:r>
    </w:p>
    <w:p>
      <w:pPr>
        <w:pStyle w:val="ListParagraph"/>
        <w:numPr>
          <w:ilvl w:val="0"/>
          <w:numId w:val="1"/>
        </w:numPr>
      </w:pPr>
      <w:r>
        <w:t xml:space="preserve">[ ] **Cross-functional privacy reviews** — Monthly meetings with Engineering, Product, Legal</w:t>
      </w:r>
    </w:p>
    <w:p>
      <w:pPr>
        <w:pStyle w:val="ListParagraph"/>
        <w:numPr>
          <w:ilvl w:val="0"/>
          <w:numId w:val="1"/>
        </w:numPr>
      </w:pPr>
      <w:r>
        <w:t xml:space="preserve">[ ] **Industry benchmarking** — Compare your program against industry peers</w:t>
      </w:r>
    </w:p>
    <w:p>
      <w:pPr>
        <w:pStyle w:val="Heading3"/>
      </w:pPr>
      <w:r>
        <w:t>Month 11: Advanced Compliance</w:t>
      </w:r>
    </w:p>
    <w:p>
      <w:r>
        <w:t xml:space="preserve">Theme: Address specialized requirements.</w:t>
      </w:r>
    </w:p>
    <w:p>
      <w:pPr>
        <w:pStyle w:val="ListParagraph"/>
        <w:numPr>
          <w:ilvl w:val="0"/>
          <w:numId w:val="1"/>
        </w:numPr>
      </w:pPr>
      <w:r>
        <w:t xml:space="preserve">[ ] **EU AI Act compliance** — Complete AI governance framework implementation</w:t>
      </w:r>
    </w:p>
    <w:p>
      <w:r>
        <w:t xml:space="preserve">  - AI risk classification for all AI features</w:t>
      </w:r>
    </w:p>
    <w:p>
      <w:r>
        <w:t xml:space="preserve">  - Human oversight procedures for high-risk AI</w:t>
      </w:r>
    </w:p>
    <w:p>
      <w:r>
        <w:t xml:space="preserve">  - AI system logging and monitoring</w:t>
      </w:r>
    </w:p>
    <w:p>
      <w:r>
        <w:t xml:space="preserve">  - Conformity assessment documentation</w:t>
      </w:r>
    </w:p>
    <w:p>
      <w:pPr>
        <w:pStyle w:val="ListParagraph"/>
        <w:numPr>
          <w:ilvl w:val="0"/>
          <w:numId w:val="1"/>
        </w:numPr>
      </w:pPr>
      <w:r>
        <w:t xml:space="preserve">[ ] **International compliance** — Expand coverage to additional jurisdictions</w:t>
      </w:r>
    </w:p>
    <w:p>
      <w:pPr>
        <w:pStyle w:val="ListParagraph"/>
        <w:numPr>
          <w:ilvl w:val="0"/>
          <w:numId w:val="1"/>
        </w:numPr>
      </w:pPr>
      <w:r>
        <w:t xml:space="preserve">[ ] **Data breach drill** — Conduct annual breach response exercise</w:t>
      </w:r>
    </w:p>
    <w:p>
      <w:pPr>
        <w:pStyle w:val="ListParagraph"/>
        <w:numPr>
          <w:ilvl w:val="0"/>
          <w:numId w:val="1"/>
        </w:numPr>
      </w:pPr>
      <w:r>
        <w:t xml:space="preserve">[ ] **Vendor re-assessment** — Annual review of all sub-processor security</w:t>
      </w:r>
    </w:p>
    <w:p>
      <w:pPr>
        <w:pStyle w:val="ListParagraph"/>
        <w:numPr>
          <w:ilvl w:val="0"/>
          <w:numId w:val="1"/>
        </w:numPr>
      </w:pPr>
      <w:r>
        <w:t xml:space="preserve">[ ] **Privacy program charter review** — Annual review and update of program charter</w:t>
      </w:r>
    </w:p>
    <w:p>
      <w:pPr>
        <w:pStyle w:val="Heading3"/>
      </w:pPr>
      <w:r>
        <w:t>Month 12: Annual Review &amp; Year 2 Planning</w:t>
      </w:r>
    </w:p>
    <w:p>
      <w:r>
        <w:t xml:space="preserve">Theme: Reflect, report, and plan ahead.</w:t>
      </w:r>
    </w:p>
    <w:p>
      <w:pPr>
        <w:pStyle w:val="ListParagraph"/>
        <w:numPr>
          <w:ilvl w:val="0"/>
          <w:numId w:val="1"/>
        </w:numPr>
      </w:pPr>
      <w:r>
        <w:t xml:space="preserve">[ ] **Annual compliance review** — Complete the Annual Review Checklist</w:t>
      </w:r>
    </w:p>
    <w:p>
      <w:pPr>
        <w:pStyle w:val="ListParagraph"/>
        <w:numPr>
          <w:ilvl w:val="0"/>
          <w:numId w:val="1"/>
        </w:numPr>
      </w:pPr>
      <w:r>
        <w:t xml:space="preserve">[ ] **Compliance certificate** — Generate updated compliance attestation</w:t>
      </w:r>
    </w:p>
    <w:p>
      <w:pPr>
        <w:pStyle w:val="ListParagraph"/>
        <w:numPr>
          <w:ilvl w:val="0"/>
          <w:numId w:val="1"/>
        </w:numPr>
      </w:pPr>
      <w:r>
        <w:t xml:space="preserve">[ ] **Annual report** — Publish transparency report with DSAR/breach statistics</w:t>
      </w:r>
    </w:p>
    <w:p>
      <w:pPr>
        <w:pStyle w:val="ListParagraph"/>
        <w:numPr>
          <w:ilvl w:val="0"/>
          <w:numId w:val="1"/>
        </w:numPr>
      </w:pPr>
      <w:r>
        <w:t xml:space="preserve">[ ] **Maturity re-assessment** — Re-assess maturity level and document progress</w:t>
      </w:r>
    </w:p>
    <w:p>
      <w:pPr>
        <w:pStyle w:val="ListParagraph"/>
        <w:numPr>
          <w:ilvl w:val="0"/>
          <w:numId w:val="1"/>
        </w:numPr>
      </w:pPr>
      <w:r>
        <w:t xml:space="preserve">[ ] **Year 2 roadmap** — Plan next year's privacy program priorities based on:</w:t>
      </w:r>
    </w:p>
    <w:p>
      <w:r>
        <w:t xml:space="preserve">  - Regulatory changes (new laws, enforcement trends)</w:t>
      </w:r>
    </w:p>
    <w:p>
      <w:r>
        <w:t xml:space="preserve">  - Business changes (new products, markets, acquisitions)</w:t>
      </w:r>
    </w:p>
    <w:p>
      <w:r>
        <w:t xml:space="preserve">  - Technology changes (new services, AI capabilities)</w:t>
      </w:r>
    </w:p>
    <w:p>
      <w:r>
        <w:t xml:space="preserve">  - Audit findings and improvement opportunities</w:t>
      </w:r>
    </w:p>
    <w:p>
      <w:pPr>
        <w:pStyle w:val="ListParagraph"/>
        <w:numPr>
          <w:ilvl w:val="0"/>
          <w:numId w:val="1"/>
        </w:numPr>
      </w:pPr>
      <w:r>
        <w:t xml:space="preserve">[ ] **Budget proposal** — Submit compliance budget for next fiscal year</w:t>
      </w:r>
    </w:p>
    <w:p>
      <w:pPr>
        <w:pStyle w:val="Heading4"/>
      </w:pPr>
      <w:r>
        <w:t>Q4 Checkpoint</w:t>
      </w:r>
    </w:p>
    <w:p>
      <w:r>
        <w:t xml:space="preserve">At the end of Q4, you should have:</w:t>
      </w:r>
    </w:p>
    <w:p>
      <w:pPr>
        <w:pStyle w:val="ListParagraph"/>
        <w:numPr>
          <w:ilvl w:val="0"/>
          <w:numId w:val="1"/>
        </w:numPr>
      </w:pPr>
      <w:r>
        <w:t xml:space="preserve">✅ Privacy embedded in development lifecycle</w:t>
      </w:r>
    </w:p>
    <w:p>
      <w:pPr>
        <w:pStyle w:val="ListParagraph"/>
        <w:numPr>
          <w:ilvl w:val="0"/>
          <w:numId w:val="1"/>
        </w:numPr>
      </w:pPr>
      <w:r>
        <w:t xml:space="preserve">✅ Certification-ready documentation</w:t>
      </w:r>
    </w:p>
    <w:p>
      <w:pPr>
        <w:pStyle w:val="ListParagraph"/>
        <w:numPr>
          <w:ilvl w:val="0"/>
          <w:numId w:val="1"/>
        </w:numPr>
      </w:pPr>
      <w:r>
        <w:t xml:space="preserve">✅ Annual review completed</w:t>
      </w:r>
    </w:p>
    <w:p>
      <w:pPr>
        <w:pStyle w:val="ListParagraph"/>
        <w:numPr>
          <w:ilvl w:val="0"/>
          <w:numId w:val="1"/>
        </w:numPr>
      </w:pPr>
      <w:r>
        <w:t xml:space="preserve">✅ Year 2 roadmap approved</w:t>
      </w:r>
    </w:p>
    <w:p>
      <w:r>
        <w:t xml:space="preserve">Target maturity: Level 5 (Optimizing)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Resource Planning</w:t>
      </w:r>
    </w:p>
    <w:p>
      <w:pPr>
        <w:pStyle w:val="Heading3"/>
      </w:pPr>
      <w:r>
        <w:t>Estimated Effort by Quarter</w:t>
      </w:r>
    </w:p>
    <w:p>
      <w:r>
        <w:rPr>
          <w:sz w:val="20"/>
        </w:rPr>
        <w:t xml:space="preserve">Quarter  |  Engineering  |  Legal  |  Management  |  Total Hours/Week</w:t>
      </w:r>
    </w:p>
    <w:p>
      <w:r>
        <w:rPr>
          <w:sz w:val="20"/>
        </w:rPr>
        <w:t xml:space="preserve">Q1  |  8-12 hrs/wk  |  6-10 hrs/wk  |  2-4 hrs/wk  |  16-26</w:t>
      </w:r>
    </w:p>
    <w:p>
      <w:r>
        <w:rPr>
          <w:sz w:val="20"/>
        </w:rPr>
        <w:t xml:space="preserve">Q2  |  4-8 hrs/wk  |  4-8 hrs/wk  |  2-4 hrs/wk  |  10-20</w:t>
      </w:r>
    </w:p>
    <w:p>
      <w:r>
        <w:rPr>
          <w:sz w:val="20"/>
        </w:rPr>
        <w:t xml:space="preserve">Q3  |  6-10 hrs/wk  |  2-4 hrs/wk  |  2-4 hrs/wk  |  10-18</w:t>
      </w:r>
    </w:p>
    <w:p>
      <w:r>
        <w:rPr>
          <w:sz w:val="20"/>
        </w:rPr>
        <w:t xml:space="preserve">Q4  |  4-6 hrs/wk  |  4-6 hrs/wk  |  4-6 hrs/wk  |  12-18</w:t>
      </w:r>
    </w:p>
    <w:p>
      <w:pPr>
        <w:pStyle w:val="Heading3"/>
      </w:pPr>
      <w:r>
        <w:t>Recommended Tools</w:t>
      </w:r>
    </w:p>
    <w:p>
      <w:r>
        <w:rPr>
          <w:sz w:val="20"/>
        </w:rPr>
        <w:t xml:space="preserve">Tool  |  Purpose  |  Priority</w:t>
      </w:r>
    </w:p>
    <w:p>
      <w:r>
        <w:rPr>
          <w:sz w:val="20"/>
        </w:rPr>
        <w:t xml:space="preserve">Codepliant  |  Automated compliance doc generation  |  **Essential**</w:t>
      </w:r>
    </w:p>
    <w:p>
      <w:r>
        <w:rPr>
          <w:sz w:val="20"/>
        </w:rPr>
        <w:t xml:space="preserve">Cookie consent platform  |  Cookie consent management  |  **Essential**</w:t>
      </w:r>
    </w:p>
    <w:p>
      <w:r>
        <w:rPr>
          <w:sz w:val="20"/>
        </w:rPr>
        <w:t xml:space="preserve">DSAR management tool  |  Data subject request tracking  |  High</w:t>
      </w:r>
    </w:p>
    <w:p>
      <w:r>
        <w:rPr>
          <w:sz w:val="20"/>
        </w:rPr>
        <w:t xml:space="preserve">Vendor management platform  |  Third-party risk management  |  Medium</w:t>
      </w:r>
    </w:p>
    <w:p>
      <w:r>
        <w:rPr>
          <w:sz w:val="20"/>
        </w:rPr>
        <w:t xml:space="preserve">Training platform  |  Privacy training delivery  |  Medium</w:t>
      </w:r>
    </w:p>
    <w:p>
      <w:pPr>
        <w:pStyle w:val="Heading3"/>
      </w:pPr>
      <w:r>
        <w:t>Budget Estimate (Annual)</w:t>
      </w:r>
    </w:p>
    <w:p>
      <w:r>
        <w:rPr>
          <w:sz w:val="20"/>
        </w:rPr>
        <w:t xml:space="preserve">Category  |  Estimated Cost  |  Notes</w:t>
      </w:r>
    </w:p>
    <w:p>
      <w:r>
        <w:rPr>
          <w:sz w:val="20"/>
        </w:rPr>
        <w:t xml:space="preserve">Tools &amp; Software  |  $5,000-$20,000  |  Compliance automation, consent management</w:t>
      </w:r>
    </w:p>
    <w:p>
      <w:r>
        <w:rPr>
          <w:sz w:val="20"/>
        </w:rPr>
        <w:t xml:space="preserve">Legal Review  |  $10,000-$30,000  |  External counsel for policy review</w:t>
      </w:r>
    </w:p>
    <w:p>
      <w:r>
        <w:rPr>
          <w:sz w:val="20"/>
        </w:rPr>
        <w:t xml:space="preserve">Training  |  $2,000-$8,000  |  Training platform and materials</w:t>
      </w:r>
    </w:p>
    <w:p>
      <w:r>
        <w:rPr>
          <w:sz w:val="20"/>
        </w:rPr>
        <w:t xml:space="preserve">Audit &amp; Certification  |  $15,000-$50,000  |  SOC 2 or ISO 27001 (if pursuing)</w:t>
      </w:r>
    </w:p>
    <w:p>
      <w:r>
        <w:rPr>
          <w:sz w:val="20"/>
        </w:rPr>
        <w:t xml:space="preserve">Personnel  |  Varies  |  Fractional DPO or dedicated privacy hire</w:t>
      </w:r>
    </w:p>
    <w:p>
      <w:r>
        <w:rPr>
          <w:sz w:val="20"/>
        </w:rPr>
        <w:t xml:space="preserve">**Total**  |  **$32,000-$108,000**  |  Varies significantly by company size</w:t>
      </w:r>
    </w:p>
    <w:p>
      <w:pPr>
        <w:pStyle w:val="Heading2"/>
      </w:pPr>
      <w:r>
        <w:t>Success Criteria</w:t>
      </w:r>
    </w:p>
    <w:p>
      <w:pPr>
        <w:pStyle w:val="Heading3"/>
      </w:pPr>
      <w:r>
        <w:t>12-Month Targets</w:t>
      </w:r>
    </w:p>
    <w:p>
      <w:r>
        <w:rPr>
          <w:sz w:val="20"/>
        </w:rPr>
        <w:t xml:space="preserve">Metric  |  Target  |  Measurement</w:t>
      </w:r>
    </w:p>
    <w:p>
      <w:r>
        <w:rPr>
          <w:sz w:val="20"/>
        </w:rPr>
        <w:t xml:space="preserve">Privacy maturity level  |  Level 5  |  Codepliant maturity assessment</w:t>
      </w:r>
    </w:p>
    <w:p>
      <w:r>
        <w:rPr>
          <w:sz w:val="20"/>
        </w:rPr>
        <w:t xml:space="preserve">Document coverage  |  100% recommended docs  |  `codepliant completeness`</w:t>
      </w:r>
    </w:p>
    <w:p>
      <w:r>
        <w:rPr>
          <w:sz w:val="20"/>
        </w:rPr>
        <w:t xml:space="preserve">DSAR response time  |  &lt; 30 days  |  DSAR tracking system</w:t>
      </w:r>
    </w:p>
    <w:p>
      <w:r>
        <w:rPr>
          <w:sz w:val="20"/>
        </w:rPr>
        <w:t xml:space="preserve">Consent rate  |  &gt; 80%  |  Cookie consent analytics</w:t>
      </w:r>
    </w:p>
    <w:p>
      <w:r>
        <w:rPr>
          <w:sz w:val="20"/>
        </w:rPr>
        <w:t xml:space="preserve">Training completion  |  100% of staff  |  Training record system</w:t>
      </w:r>
    </w:p>
    <w:p>
      <w:r>
        <w:rPr>
          <w:sz w:val="20"/>
        </w:rPr>
        <w:t xml:space="preserve">Vendor DPA coverage  |  100%  |  Vendor management tracker</w:t>
      </w:r>
    </w:p>
    <w:p>
      <w:r>
        <w:rPr>
          <w:sz w:val="20"/>
        </w:rPr>
        <w:t xml:space="preserve">Incident response time  |  &lt; 4 hours to triage  |  Incident response logs</w:t>
      </w:r>
    </w:p>
    <w:p>
      <w:r>
        <w:rPr>
          <w:sz w:val="20"/>
        </w:rPr>
        <w:t xml:space="preserve">Policy freshness  |  All updated within 90 days  |  `codepliant lint`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Contact</w:t>
      </w:r>
    </w:p>
    <w:p>
      <w:r>
        <w:t xml:space="preserve">Privacy Program Lead: Jane Mueller</w:t>
      </w:r>
    </w:p>
    <w:p>
      <w:r>
        <w:t xml:space="preserve">Email: legal@acme.com</w:t>
      </w:r>
    </w:p>
    <w:p>
      <w:r>
        <w:t xml:space="preserve">DPO Email: dpo@acme-saas.com</w:t>
      </w:r>
    </w:p>
    <w:p>
      <w:pPr>
        <w:pBdr>
          <w:bottom w:val="single" w:sz="6" w:space="1" w:color="999999"/>
        </w:pBdr>
      </w:pPr>
    </w:p>
    <w:p>
      <w:r>
        <w:t xml:space="preserve">This Privacy Program Roadmap was generated by [Codepliant](https://github.com/joechensmartz/codepliant) based on automated analysis of 8 detected services at maturity level 5 (Optimizing). It should be reviewed and customized by a qualified compliance professional.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